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r w:rsidRPr="006D1F9D">
        <w:rPr>
          <w:rFonts w:asciiTheme="minorHAnsi" w:hAnsiTheme="minorHAnsi"/>
          <w:color w:val="000000" w:themeColor="text1"/>
          <w:lang w:val="en-US"/>
        </w:rPr>
        <w:t xml:space="preserve">2022-05 </w:t>
      </w:r>
      <w:proofErr w:type="gramStart"/>
      <w:r w:rsidRPr="006D1F9D">
        <w:rPr>
          <w:rFonts w:asciiTheme="minorHAnsi" w:hAnsiTheme="minorHAnsi"/>
          <w:color w:val="000000" w:themeColor="text1"/>
          <w:lang w:val="en-US"/>
        </w:rPr>
        <w:t>Call</w:t>
      </w:r>
      <w:proofErr w:type="gramEnd"/>
      <w:r w:rsidRPr="006D1F9D">
        <w:rPr>
          <w:rFonts w:asciiTheme="minorHAnsi" w:hAnsiTheme="minorHAnsi"/>
          <w:color w:val="000000" w:themeColor="text1"/>
          <w:lang w:val="en-US"/>
        </w:rPr>
        <w:t xml:space="preserve">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w:t>
      </w:r>
      <w:bookmarkStart w:id="0" w:name="_GoBack"/>
      <w:r w:rsidR="00FD00DD">
        <w:rPr>
          <w:rFonts w:ascii="Gill Sans MT" w:hAnsi="Gill Sans MT"/>
          <w:color w:val="000000" w:themeColor="text1"/>
          <w:lang w:val="en-US"/>
        </w:rPr>
        <w:t>summary of expertise</w:t>
      </w:r>
    </w:p>
    <w:bookmarkEnd w:id="0"/>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2022-06-21</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AUT</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740527" w:rsidRDefault="00E21037" w:rsidP="00BF0D19">
            <w:pPr>
              <w:pStyle w:val="IPPArialTable"/>
              <w:rPr>
                <w:rFonts w:ascii="Gill Sans MT" w:hAnsi="Gill Sans MT"/>
                <w:b/>
                <w:bCs/>
                <w:sz w:val="22"/>
                <w:szCs w:val="22"/>
              </w:rPr>
            </w:pPr>
            <w:r w:rsidRPr="00740527">
              <w:rPr>
                <w:rFonts w:ascii="Gill Sans MT" w:hAnsi="Gill Sans MT"/>
                <w:b/>
                <w:bCs/>
                <w:sz w:val="22"/>
                <w:szCs w:val="22"/>
              </w:rPr>
              <w:t>RPPO</w:t>
            </w:r>
            <w:r w:rsidR="0035204D" w:rsidRPr="00740527">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740527" w:rsidRDefault="0021181D" w:rsidP="00314B27">
                <w:pPr>
                  <w:pStyle w:val="IPPArialTable"/>
                  <w:rPr>
                    <w:rFonts w:ascii="Gill Sans MT" w:hAnsi="Gill Sans MT"/>
                    <w:sz w:val="22"/>
                    <w:szCs w:val="22"/>
                  </w:rPr>
                </w:pPr>
                <w:r w:rsidRPr="00740527">
                  <w:rPr>
                    <w:rStyle w:val="PlaceholderText"/>
                    <w:rFonts w:ascii="Gill Sans MT" w:hAnsi="Gill Sans MT"/>
                    <w:color w:val="auto"/>
                    <w:sz w:val="22"/>
                    <w:szCs w:val="22"/>
                  </w:rPr>
                  <w:t>EPPO</w:t>
                </w: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hq@eppo.int</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Christa</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6236B11B" w:rsidR="001F2190" w:rsidRPr="00740527" w:rsidRDefault="001F2190" w:rsidP="003A29B2">
            <w:pPr>
              <w:pStyle w:val="IPPArialTable"/>
              <w:rPr>
                <w:rFonts w:ascii="Gill Sans MT" w:hAnsi="Gill Sans MT"/>
                <w:b/>
                <w:bCs/>
                <w:sz w:val="22"/>
                <w:szCs w:val="22"/>
              </w:rPr>
            </w:pPr>
            <w:r w:rsidRPr="00740527">
              <w:rPr>
                <w:rFonts w:ascii="Gill Sans MT" w:hAnsi="Gill Sans MT"/>
                <w:b/>
                <w:bCs/>
                <w:sz w:val="22"/>
                <w:szCs w:val="22"/>
              </w:rPr>
              <w:t>Nominee's middle name</w:t>
            </w:r>
          </w:p>
        </w:tc>
        <w:sdt>
          <w:sdtPr>
            <w:rPr>
              <w:rFonts w:ascii="Gill Sans MT" w:hAnsi="Gill Sans MT"/>
              <w:sz w:val="22"/>
              <w:szCs w:val="22"/>
            </w:rPr>
            <w:alias w:val="General/Middle_name"/>
            <w:tag w:val="General/Middle_name"/>
            <w:id w:val="162898027"/>
            <w:placeholder>
              <w:docPart w:val="DefaultPlaceholder_-1854013440"/>
            </w:placeholder>
            <w:showingPlcHdr/>
            <w:text/>
          </w:sdtPr>
          <w:sdtEndPr/>
          <w:sdtContent>
            <w:tc>
              <w:tcPr>
                <w:tcW w:w="5804" w:type="dxa"/>
              </w:tcPr>
              <w:p w14:paraId="0DCE4AA8" w14:textId="4A925C54" w:rsidR="001F2190" w:rsidRPr="00740527" w:rsidRDefault="00787382" w:rsidP="003A29B2">
                <w:pPr>
                  <w:pStyle w:val="IPPArialTable"/>
                  <w:rPr>
                    <w:rFonts w:ascii="Gill Sans MT" w:hAnsi="Gill Sans MT"/>
                    <w:sz w:val="22"/>
                    <w:szCs w:val="22"/>
                  </w:rPr>
                </w:pPr>
                <w:r w:rsidRPr="00740527">
                  <w:rPr>
                    <w:rStyle w:val="PlaceholderText"/>
                    <w:rFonts w:ascii="Gill Sans MT" w:hAnsi="Gill Sans MT"/>
                    <w:color w:val="auto"/>
                    <w:sz w:val="22"/>
                    <w:szCs w:val="22"/>
                  </w:rPr>
                  <w:t>Andrea</w:t>
                </w: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Lethmayer</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AGES (= Austrian Agency for Health and Food Safety), Vienna, Austria</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Research entomologist; Vice Head of Department for Plant Health in Fruit Crops, Viticulture and Special Crops</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Spargelfeldstraße 191, A-1220 Vienna, Austria</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christa.lethmayer@ages.at</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+435055533311</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Participation in international conferences, project meetings and working groups; publications (12 in peer reviewed journals) and presentations in English; experience of 25 years</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2021-013 2021-017</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Yes, specific expertise in morphological diagnostics on both species; and as a staff member of the European Union Reference Laboratory for Insect &amp; Mites (EURL) and the Austrian National Reference Laboratory for Insect &amp; Mites (NRL)</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Practical expertise with: Bactrocera zonata in charge of specimen identification in the framework of 11 years of official national survey in Austria (including identification and detection). Participation in the validation of the morphological identification protocol for Bactrocera zonata EPPO PM 7/114 (1) within the framework of EURL tasks. Drosophila suzukii in </w:t>
                </w:r>
                <w:r w:rsidRPr="00740527">
                  <w:rPr>
                    <w:rStyle w:val="PlaceholderText"/>
                    <w:rFonts w:ascii="Gill Sans MT" w:hAnsi="Gill Sans MT"/>
                    <w:color w:val="auto"/>
                    <w:sz w:val="22"/>
                    <w:szCs w:val="22"/>
                  </w:rPr>
                  <w:lastRenderedPageBreak/>
                  <w:t>charge of specimen identification in the framework of the national survey in Austria (including identification and detection) (since 2012). Training courses on D. suzukii identification for national phytosanitary inspectors and fruit growing advisors. Identification work in several international projects/research activities, e.g. EU-ERANET EUPHRESCO-II-Project DROSKII, EU-ERANET EUPHRESCO-II-Project IPMDROS.</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lastRenderedPageBreak/>
              <w:t>Expertise with quarantine diagnostics, including using 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Participation in diagnostics activities in the framework of monitoring activities mainly on quarantine species and international research projects (including identification activities), e.g. EU-ERANET EUPHRESCO-I-Project ANOPLORISK, as well as due to tasks within the EURL, especially the validation studies on diagnostic protocols.</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Preparation of short simplified technical diagnostic sheets for Liriomyza spp. and Toxoptera citricidus for internal use in the institute. No direct experience of drafting regional diagnostic protocols but regularly involved in their review (e.g. EPPO diagnostic protocols).</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No</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Research scientist (entomology/plant health) at BFL (1995-2002) and AGES (since 2002); Vice Head of Department of Horticultural Entomology and Nematology (09/2003-07/2012) and of Department for Plant Health in Fruit Crops, Viticulture and Special Crops (since 07/2012)</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09/1984-02/1996: Study of Biological Sciences (Zoology), University of Vienna (Austria) 1992: Master of Science (Biology, Zoology) 1996: Doctor (Zoology, Entomology and Agriculture) Participation in training courses on morphological identification of different insect groups (since 1994)</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German (native), English</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sdt>
          <w:sdtPr>
            <w:rPr>
              <w:rFonts w:ascii="Gill Sans MT" w:hAnsi="Gill Sans MT"/>
              <w:sz w:val="22"/>
              <w:szCs w:val="22"/>
            </w:rPr>
            <w:alias w:val="Relevant_ETP/Publications"/>
            <w:tag w:val="Relevant_ETP/Publications"/>
            <w:id w:val="-917636011"/>
            <w:placeholder>
              <w:docPart w:val="61D9BC72143848358CFA607D64085FD3"/>
            </w:placeholder>
            <w:showingPlcHdr/>
            <w:text/>
          </w:sdtPr>
          <w:sdtEndPr/>
          <w:sdtContent>
            <w:tc>
              <w:tcPr>
                <w:tcW w:w="5804" w:type="dxa"/>
              </w:tcPr>
              <w:p w14:paraId="4D67018A"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 list of selected publications: Lethmayer, C., Nentwig, W., Frank, T. (1997): Effects of weed strips on the occurrence of noxious coleopteran species (Nitidulidae, Chrysomelidae, Curculionidae). - J. Plant Dis. Prot. 104 (1), 75 - 92. Zulka, K. P., Milasowszky, N., Lethmayer, C. (1997): Spider biodiversity potential of an ungrazed and a grazed inland salt meadow in the National Park „Neusiedler See - Seewinkel“ (Austria): implications for management (Arachnida: Araneae).- Biodiversity and Conservation 6: 75-88. Nentwig, W., Frank, T., Lethmayer, C. (1998): Sown weed strips: Artificial ecological compensation areas as an important tool in conservation biological control. In: Barbosa, P. (Ed.): Conservation biological control. - Academic Press, San Diego, </w:t>
                </w:r>
                <w:r w:rsidRPr="00740527">
                  <w:rPr>
                    <w:rStyle w:val="PlaceholderText"/>
                    <w:rFonts w:ascii="Gill Sans MT" w:hAnsi="Gill Sans MT"/>
                    <w:color w:val="auto"/>
                    <w:sz w:val="22"/>
                    <w:szCs w:val="22"/>
                  </w:rPr>
                  <w:lastRenderedPageBreak/>
                  <w:t>133-153. Lethmayer, C. (1998): Occurrence of aphids in an agricultural area with sown weed strips. - In: Nafría, J. M. N. &amp; Dixon, A. F. G.: Proceedings of the V. International Symposium on Aphids: Aphids on natural and managed ecosystems, 601 – 608. Lethmayer, C. (2000): Herbivore – Förderung von Schädlingen. In: Nentwig, W. (Hrsg.): Streifenförmige ökologische Ausgleichsflächen in der Kulturlandschaft: Ackerkrautstreifen, Buntbrache, Feldränder. – Verlag der Agrarökologie Bern – Hannover, 127 – 135. Traxler, A., Gaugitsch, H., Heissenberger, A., Frank, G. &amp; Lethmayer, C. (2001): Ecological monitoring of genetically modified organisms. - In: UBA Berlin: EU-Workshop: Monitoring of environmental impacts of genetically modified plants. Texte 45/01: 79 – 84. Lethmayer, C. (2002): The parasitism of the horsechestnut leafmining moth (Cameraria ohridella) in Austria. – In: Melika, G. &amp; Thuroczy, C. (Eds.): Parasitic wasps: Evolution, Systematics, Biodiversity and Biological Control. – Agroinform, Budapest, 400 – 404. Lethmayer, C. (2003): Über 10 Jahre Cameraria ohridella (Gracillariidae, Lepidoptera) – neue Nützlinge? – Entomologica Austriaca 8, 3 - 6. Lethmayer, C., Hausdorf, H. &amp; Blümel, S. (2004): The first field experiences with sex-aggregation pheromones of the strawberry blossom weevil, Anthonomus rubi, in Austria. – In: Linder, C. &amp; Cross, J. (Eds.): Integrated Plant Protection in Fruit Crops –Soft Fruit. – IOBC WPRS Bulletin Vol. 27 (4), 133 – 139. Lethmayer, C. (2005): 10 years of experience with the invasive horse chestnut leafminer (Cameraria ohridella) in Austria. – In: Alford, D. V. &amp; Backhaus, G. F. [Eds]: Plant Protection and Plant Health in Europe: Introduction and Spread of Invasive Species. - BCPC Symposium Proceedings No. 81, 61-66. Rabitsch, W., Lethmayer, C. &amp; Grabenweger, G. (2005): Insekten und Spinnentiere. – In: BMLFUW (Hrsg.): Aliens, Neobiota in Österreich. – Grüne Reihe 15, Böhlau Verlag, 171-188. Frank T., Aeschbacher S., Barone M., Künzle I., Lethmayer C. &amp; Mosimann C. (2009): Beneficial arthropods respond differentially to wildflower areas of different age. - Ann. Zool. Fennici 46, 465-480;ISSN 0003-455X Lethmayer C., Hausdorf H., Altenburger J. &amp; S. Blümel (2009): Trials of Alternative Codling Moth (Cydia pomonella) Control Strategies in Austria. – International Journal of Fruit Science 9, 1–9. Grabenweger, G., Kehrli, P., Zweimüller, I., Augustin, S., Avtzis, N., Bacher, S., Freise, J., Girardoz, S., Guichard, S., Heitland, W., Lethmayer, C., Stolz, M., Tomov, R., Volter, L. &amp; Kenis, M. (2010): Temporal and spatial variations in the parasitoid complex of the horse chestnut leafminer during its invasion of Europe. – Biol. Invasions 12(8): 2797-2813. Lethmayer, C., Hausdorf, H., Suarez-Mahecha, B. &amp; Reisenzein, H. (2011): The importance of psyllids (Hemiptera: Psyllidae) as vectors of phytoplasmas in pome and stone fruit trees in Austria. – Bulletin of Insectology 64 (Supplement): 255-256. Lethmayer, C. (2013): First data on the dispersal and potential spread of Anoplophora spp.. – Journal of Entomological and Acaralogical Research 45 (s1), page 7. Sauro, S., Baufeld P., Northing P., Bell, H., Gargani, E., Cuthbertson, A., Lethmayer, C., Egartner, A., Bluemel, S., Kehrli, P., Anfora, G., Grassi, A., Baroffio, C., Masci, A., Linder, C. &amp; Ioriatti, C. (2013): DROSKII: a transnational attempt for insight on the damage potential of Drosophila suzukii and on the development of risk management and control measures. – IOBC-WPRS Bulletin 91, 323-326. Lethmayer, C., Egartner, A. &amp; Blümel, S. (2015): Evaluation of different trap types for catching the spotted wing drosophila (Drosophila suzukii). - IOBC-WPRS Bulletin Vol. 109, 187-193. Reisenzein, H. &amp; Lethmayer, C. (2016): Studies on the interaction between 'Ca. phytoplasma pyri' and the vectoring psyllids. – IOBC-WPRS Bulletin Vol. 112, 55-60. Lethmayer, C. &amp; Egartner, A. (2017): Enhancement of Drosophila suzukii trapping. – IOBC-WPRS Bulletin Vol. 123, 143-149.  Egartner, A. &amp; Lethmayer, C. (2017): Invasive Fruit Flies of economic importance in Austria - monitoring activities 2016. - IOBC-WPRS Bulletin Vol. 123, 45-49. Lethmayer, C., Wernicke, M. &amp; Blümel, S. (2019): Laboratory choice trials to identify repellent substances against Drosophila suzukii. – IOBC-WPRS Bulletin Vol. 144, 8-15. Egartner, A., Lethmayer, C., Gottsberger, R. A. &amp; S. Blümel (2019): Recent records of the Mediterranean fruit fly, Ceratitis capitata (Tephritidae, Diptera) in Austria. – IOBC-WPRS Bulletin Vol. 146, 143-152. Egartner, A., Lethmayer, C., Gottsberger, R. A. &amp; S. Blümel (2019): Survey on Bactrocera spp. (Tephritidae, Diptera) in Austria. – Bulletin OEPP/EPPO Bulletin 49 (3), 578-584. – DOI: 10.1111/epp.12604 Wernicke, M., Lethmayer, C. &amp; Blümel, S. (2020): Laboratory trials to investigate potential repellent/oviposition deterrent effects of selected substances on Drosophila suzukii adults. – Bulletin of Insectology 73 (2), 249-255. Lethmayer, C. &amp; Gottsberger, R.A. (2020): First report of ‘Candidatus Liberibacter solanacearum’ in common hogweed (Heracleum sphondylium) in Austria. – New Disease Reports 42, 17. http://dx.doi.org/10.5197/j.2044-0588.2020.042.017 Kenyon, D., Back, E., Sumner-Kalkun, J., Highet, F., Lethmayer, C., Gottsberger, R., Beniusis, A. &amp; Pupeliene, S. (2022): Role of weed hosts as pathogen reservoirs of insect vectored diseases (WEEDVECT). – Zenodo. https://doi.org/10.5281/zenodo.5846219 - no keynote speaking engagements</w:t>
                </w:r>
              </w:p>
            </w:tc>
          </w:sdtContent>
        </w:sdt>
      </w:tr>
    </w:tbl>
    <w:p w14:paraId="014F9B86" w14:textId="47A8AD33" w:rsidR="00163187" w:rsidRPr="000440A1" w:rsidRDefault="00163187"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lastRenderedPageBreak/>
        <w:t>Submitted documents</w:t>
      </w:r>
    </w:p>
    <w:tbl>
      <w:tblPr>
        <w:tblStyle w:val="TableGrid"/>
        <w:tblW w:w="0" w:type="auto"/>
        <w:tblLook w:val="04A0" w:firstRow="1" w:lastRow="0" w:firstColumn="1" w:lastColumn="0" w:noHBand="0" w:noVBand="1"/>
      </w:tblPr>
      <w:tblGrid>
        <w:gridCol w:w="3256"/>
        <w:gridCol w:w="5804"/>
      </w:tblGrid>
      <w:tr w:rsidR="00D35574" w:rsidRPr="00740527" w14:paraId="32321A70" w14:textId="77777777" w:rsidTr="009742CB">
        <w:trPr>
          <w:trHeight w:val="63"/>
        </w:trPr>
        <w:tc>
          <w:tcPr>
            <w:tcW w:w="3256" w:type="dxa"/>
            <w:shd w:val="clear" w:color="auto" w:fill="F2F2F2" w:themeFill="background1" w:themeFillShade="F2"/>
            <w:vAlign w:val="center"/>
          </w:tcPr>
          <w:p w14:paraId="660E058C" w14:textId="663E8001"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statement of commitment</w:t>
            </w:r>
          </w:p>
        </w:tc>
        <w:sdt>
          <w:sdtPr>
            <w:rPr>
              <w:rFonts w:ascii="Gill Sans MT" w:hAnsi="Gill Sans MT"/>
              <w:sz w:val="22"/>
              <w:szCs w:val="22"/>
            </w:rPr>
            <w:alias w:val="Statement_of_Commitment"/>
            <w:tag w:val="Statement_of_Commitment"/>
            <w:id w:val="-1433505170"/>
            <w:placeholder>
              <w:docPart w:val="0EF984617DB843698FFC9BE23691A763"/>
            </w:placeholder>
            <w:showingPlcHdr/>
            <w:text/>
          </w:sdtPr>
          <w:sdtEndPr/>
          <w:sdtContent>
            <w:tc>
              <w:tcPr>
                <w:tcW w:w="5804" w:type="dxa"/>
              </w:tcPr>
              <w:p w14:paraId="42F7A999"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Statement_of_commitment_Lethmayer_2002-21_31_15.pdf</w:t>
                </w:r>
              </w:p>
            </w:tc>
          </w:sdtContent>
        </w:sdt>
      </w:tr>
      <w:tr w:rsidR="00D35574" w:rsidRPr="00740527" w14:paraId="1955490C" w14:textId="77777777" w:rsidTr="009742CB">
        <w:trPr>
          <w:trHeight w:val="63"/>
        </w:trPr>
        <w:tc>
          <w:tcPr>
            <w:tcW w:w="3256" w:type="dxa"/>
            <w:shd w:val="clear" w:color="auto" w:fill="F2F2F2" w:themeFill="background1" w:themeFillShade="F2"/>
            <w:vAlign w:val="center"/>
          </w:tcPr>
          <w:p w14:paraId="472D1BF2" w14:textId="41825BB7"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CV</w:t>
            </w:r>
          </w:p>
        </w:tc>
        <w:sdt>
          <w:sdtPr>
            <w:rPr>
              <w:rFonts w:ascii="Gill Sans MT" w:hAnsi="Gill Sans MT"/>
              <w:sz w:val="22"/>
              <w:szCs w:val="22"/>
            </w:rPr>
            <w:alias w:val="Nominee_s_CV"/>
            <w:tag w:val="Nominee_s_CV"/>
            <w:id w:val="898176979"/>
            <w:placeholder>
              <w:docPart w:val="0EF984617DB843698FFC9BE23691A763"/>
            </w:placeholder>
            <w:showingPlcHdr/>
            <w:text/>
          </w:sdtPr>
          <w:sdtEndPr/>
          <w:sdtContent>
            <w:tc>
              <w:tcPr>
                <w:tcW w:w="5804" w:type="dxa"/>
              </w:tcPr>
              <w:p w14:paraId="2895E3EA"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Europass_CV_Lethmayer_2022_IPPC-21_31_22.pdf</w:t>
                </w:r>
              </w:p>
            </w:tc>
          </w:sdtContent>
        </w:sdt>
      </w:tr>
    </w:tbl>
    <w:p w14:paraId="7DE16CAA" w14:textId="77777777" w:rsidR="000605F3" w:rsidRPr="000440A1" w:rsidRDefault="000605F3" w:rsidP="000605F3">
      <w:pPr>
        <w:pStyle w:val="IPPHeading1"/>
        <w:numPr>
          <w:ilvl w:val="0"/>
          <w:numId w:val="17"/>
        </w:numPr>
        <w:rPr>
          <w:rFonts w:ascii="Gill Sans MT" w:hAnsi="Gill Sans MT"/>
          <w:color w:val="000000" w:themeColor="text1"/>
          <w:lang w:val="en-US"/>
        </w:rPr>
      </w:pPr>
      <w:r>
        <w:rPr>
          <w:rFonts w:ascii="Gill Sans MT" w:hAnsi="Gill Sans MT"/>
          <w:color w:val="000000" w:themeColor="text1"/>
          <w:lang w:val="en-US"/>
        </w:rPr>
        <w:t>Additional notes</w:t>
      </w:r>
    </w:p>
    <w:tbl>
      <w:tblPr>
        <w:tblStyle w:val="TableGrid"/>
        <w:tblW w:w="0" w:type="auto"/>
        <w:tblLook w:val="04A0" w:firstRow="1" w:lastRow="0" w:firstColumn="1" w:lastColumn="0" w:noHBand="0" w:noVBand="1"/>
      </w:tblPr>
      <w:tblGrid>
        <w:gridCol w:w="3256"/>
        <w:gridCol w:w="5804"/>
      </w:tblGrid>
      <w:tr w:rsidR="000605F3" w:rsidRPr="00D66135" w14:paraId="4E33F6E3" w14:textId="77777777" w:rsidTr="00404E81">
        <w:trPr>
          <w:trHeight w:val="63"/>
        </w:trPr>
        <w:tc>
          <w:tcPr>
            <w:tcW w:w="3256" w:type="dxa"/>
            <w:shd w:val="clear" w:color="auto" w:fill="F2F2F2" w:themeFill="background1" w:themeFillShade="F2"/>
            <w:vAlign w:val="center"/>
          </w:tcPr>
          <w:p w14:paraId="4C12AC5E" w14:textId="77777777" w:rsidR="000605F3" w:rsidRPr="00D66135" w:rsidRDefault="000605F3" w:rsidP="00404E81">
            <w:pPr>
              <w:pStyle w:val="IPPArialFootnote"/>
              <w:ind w:left="0" w:firstLine="0"/>
              <w:rPr>
                <w:rFonts w:ascii="Gill Sans MT" w:hAnsi="Gill Sans MT"/>
                <w:b/>
                <w:bCs/>
                <w:sz w:val="22"/>
                <w:szCs w:val="22"/>
              </w:rPr>
            </w:pPr>
            <w:r>
              <w:rPr>
                <w:rFonts w:ascii="Gill Sans MT" w:hAnsi="Gill Sans MT"/>
                <w:b/>
                <w:bCs/>
                <w:sz w:val="22"/>
                <w:szCs w:val="22"/>
              </w:rPr>
              <w:t>Additional notes</w:t>
            </w:r>
          </w:p>
        </w:tc>
        <w:sdt>
          <w:sdtPr>
            <w:rPr>
              <w:rFonts w:ascii="Gill Sans MT" w:hAnsi="Gill Sans MT"/>
              <w:sz w:val="22"/>
              <w:szCs w:val="22"/>
            </w:rPr>
            <w:alias w:val="Notes"/>
            <w:tag w:val="Notes"/>
            <w:id w:val="1507171135"/>
            <w:placeholder>
              <w:docPart w:val="9037F8637E6C461D9F006F1D97B9382E"/>
            </w:placeholder>
            <w:showingPlcHdr/>
            <w:text/>
          </w:sdtPr>
          <w:sdtEndPr/>
          <w:sdtContent>
            <w:tc>
              <w:tcPr>
                <w:tcW w:w="5804" w:type="dxa"/>
              </w:tcPr>
              <w:p w14:paraId="036B80AC" w14:textId="77777777" w:rsidR="000605F3" w:rsidRPr="00D66135" w:rsidRDefault="000605F3" w:rsidP="00404E81">
                <w:pPr>
                  <w:pStyle w:val="IPPArialFootnote"/>
                  <w:ind w:left="0" w:firstLine="0"/>
                  <w:rPr>
                    <w:rFonts w:ascii="Gill Sans MT" w:hAnsi="Gill Sans MT"/>
                    <w:sz w:val="22"/>
                    <w:szCs w:val="22"/>
                  </w:rPr>
                </w:pPr>
                <w:r w:rsidRPr="00D66135">
                  <w:rPr>
                    <w:rStyle w:val="PlaceholderText"/>
                    <w:rFonts w:ascii="Gill Sans MT" w:hAnsi="Gill Sans MT"/>
                    <w:color w:val="auto"/>
                    <w:sz w:val="22"/>
                    <w:szCs w:val="22"/>
                  </w:rPr>
                  <w:t>none</w:t>
                </w:r>
              </w:p>
            </w:tc>
          </w:sdtContent>
        </w:sdt>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59F18CF7"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EA726A">
      <w:rPr>
        <w:rFonts w:ascii="Gill Sans MT" w:hAnsi="Gill Sans MT"/>
        <w:b/>
        <w:noProof/>
        <w:sz w:val="18"/>
      </w:rPr>
      <w:t>4</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EA726A">
      <w:rPr>
        <w:rFonts w:ascii="Gill Sans MT" w:hAnsi="Gill Sans MT"/>
        <w:b/>
        <w:noProof/>
        <w:sz w:val="18"/>
      </w:rPr>
      <w:t>4</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13471874"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EA726A">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EA726A">
      <w:rPr>
        <w:rFonts w:ascii="Gill Sans MT" w:hAnsi="Gill Sans MT"/>
        <w:b/>
        <w:noProof/>
        <w:sz w:val="18"/>
      </w:rPr>
      <w:t>4</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20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0FAAxy3Uo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A726A"/>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0EF984617DB843698FFC9BE23691A763"/>
        <w:category>
          <w:name w:val="General"/>
          <w:gallery w:val="placeholder"/>
        </w:category>
        <w:types>
          <w:type w:val="bbPlcHdr"/>
        </w:types>
        <w:behaviors>
          <w:behavior w:val="content"/>
        </w:behaviors>
        <w:guid w:val="{D719D171-A004-4178-9E36-16D2125FECBF}"/>
      </w:docPartPr>
      <w:docPartBody>
        <w:p w:rsidR="005D5A5A" w:rsidRDefault="00D1106F" w:rsidP="00D1106F">
          <w:pPr>
            <w:pStyle w:val="0EF984617DB843698FFC9BE23691A763"/>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9037F8637E6C461D9F006F1D97B9382E"/>
        <w:category>
          <w:name w:val="General"/>
          <w:gallery w:val="placeholder"/>
        </w:category>
        <w:types>
          <w:type w:val="bbPlcHdr"/>
        </w:types>
        <w:behaviors>
          <w:behavior w:val="content"/>
        </w:behaviors>
        <w:guid w:val="{413BB617-5705-4C17-9AA3-E5AF13A94D7D}"/>
      </w:docPartPr>
      <w:docPartBody>
        <w:p w:rsidR="00275116" w:rsidRDefault="007E0660" w:rsidP="007E0660">
          <w:pPr>
            <w:pStyle w:val="9037F8637E6C461D9F006F1D97B9382E"/>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0EB6F1B4-5F0E-4C08-9AE0-1AAF4BE945A0}">
  <ds:schemaRefs>
    <ds:schemaRef ds:uri="http://purl.org/dc/elements/1.1/"/>
    <ds:schemaRef ds:uri="http://schemas.microsoft.com/office/2006/metadata/properties"/>
    <ds:schemaRef ds:uri="http://schemas.openxmlformats.org/package/2006/metadata/core-properties"/>
    <ds:schemaRef ds:uri="http://purl.org/dc/terms/"/>
    <ds:schemaRef ds:uri="ea6feb38-a85a-45e8-92e9-814486bbe375"/>
    <ds:schemaRef ds:uri="http://schemas.microsoft.com/office/2006/documentManagement/types"/>
    <ds:schemaRef ds:uri="http://schemas.microsoft.com/office/infopath/2007/PartnerControls"/>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417002-A280-4BC5-AA44-63E25933B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4</Pages>
  <Words>1571</Words>
  <Characters>8955</Characters>
  <Application>Microsoft Office Word</Application>
  <DocSecurity>0</DocSecurity>
  <Lines>74</Lines>
  <Paragraphs>21</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10505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2022-07-04T10:38:00Z</dcterms:created>
  <dcterms:modified xsi:type="dcterms:W3CDTF">2022-07-04T10:38:00Z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